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898BE2" w14:textId="77777777" w:rsidR="004A5659" w:rsidRDefault="004A5659" w:rsidP="004A5659">
      <w:pPr>
        <w:spacing w:before="720" w:after="0" w:line="480" w:lineRule="auto"/>
        <w:jc w:val="center"/>
        <w:rPr>
          <w:rFonts w:ascii="Lato Black" w:hAnsi="Lato Black"/>
          <w:b/>
        </w:rPr>
      </w:pPr>
      <w:bookmarkStart w:id="0" w:name="_GoBack"/>
      <w:bookmarkEnd w:id="0"/>
      <w:r w:rsidRPr="00A74683">
        <w:rPr>
          <w:rFonts w:ascii="Lato Black" w:hAnsi="Lato Black"/>
          <w:b/>
        </w:rPr>
        <w:t>Statement of</w:t>
      </w:r>
    </w:p>
    <w:p w14:paraId="56BD748D" w14:textId="3D2D1A44" w:rsidR="00007F3D" w:rsidRPr="00A74683" w:rsidRDefault="00007F3D" w:rsidP="004A5659">
      <w:pPr>
        <w:spacing w:before="720" w:after="0" w:line="480" w:lineRule="auto"/>
        <w:jc w:val="center"/>
        <w:rPr>
          <w:rFonts w:ascii="Lato Black" w:hAnsi="Lato Black"/>
          <w:b/>
        </w:rPr>
      </w:pPr>
      <w:r>
        <w:rPr>
          <w:rFonts w:ascii="Lato Black" w:hAnsi="Lato Black"/>
          <w:b/>
        </w:rPr>
        <w:t xml:space="preserve">Rudolph G. </w:t>
      </w:r>
      <w:proofErr w:type="spellStart"/>
      <w:r>
        <w:rPr>
          <w:rFonts w:ascii="Lato Black" w:hAnsi="Lato Black"/>
          <w:b/>
        </w:rPr>
        <w:t>Penner</w:t>
      </w:r>
      <w:proofErr w:type="spellEnd"/>
    </w:p>
    <w:p w14:paraId="7EC84F08" w14:textId="00C791C7" w:rsidR="004A5659" w:rsidRPr="00A74683" w:rsidRDefault="00007F3D" w:rsidP="004A5659">
      <w:pPr>
        <w:spacing w:after="0" w:line="480" w:lineRule="auto"/>
        <w:jc w:val="center"/>
        <w:rPr>
          <w:rFonts w:ascii="Lato Black" w:hAnsi="Lato Black"/>
          <w:b/>
        </w:rPr>
      </w:pPr>
      <w:r>
        <w:rPr>
          <w:rFonts w:ascii="Lato Black" w:hAnsi="Lato Black"/>
          <w:b/>
        </w:rPr>
        <w:t>Institute</w:t>
      </w:r>
      <w:r w:rsidR="00F02877">
        <w:rPr>
          <w:rFonts w:ascii="Lato Black" w:hAnsi="Lato Black"/>
          <w:b/>
        </w:rPr>
        <w:t xml:space="preserve"> </w:t>
      </w:r>
      <w:r w:rsidR="001153C6">
        <w:rPr>
          <w:rFonts w:ascii="Lato Black" w:hAnsi="Lato Black"/>
          <w:b/>
        </w:rPr>
        <w:t>Fellow</w:t>
      </w:r>
      <w:r w:rsidR="004A5659" w:rsidRPr="00A74683">
        <w:rPr>
          <w:rFonts w:ascii="Lato Black" w:hAnsi="Lato Black"/>
          <w:b/>
        </w:rPr>
        <w:t>, Urban Institute</w:t>
      </w:r>
    </w:p>
    <w:p w14:paraId="658CD2A0" w14:textId="77777777" w:rsidR="004A5659" w:rsidRPr="00A74683" w:rsidRDefault="004A5659" w:rsidP="004A5659">
      <w:pPr>
        <w:spacing w:before="720" w:after="0" w:line="480" w:lineRule="auto"/>
        <w:jc w:val="center"/>
        <w:rPr>
          <w:rFonts w:ascii="Lato Black" w:hAnsi="Lato Black"/>
          <w:b/>
        </w:rPr>
      </w:pPr>
      <w:proofErr w:type="gramStart"/>
      <w:r w:rsidRPr="00A74683">
        <w:rPr>
          <w:rFonts w:ascii="Lato Black" w:hAnsi="Lato Black"/>
          <w:b/>
        </w:rPr>
        <w:t>before</w:t>
      </w:r>
      <w:proofErr w:type="gramEnd"/>
      <w:r w:rsidRPr="00A74683">
        <w:rPr>
          <w:rFonts w:ascii="Lato Black" w:hAnsi="Lato Black"/>
          <w:b/>
        </w:rPr>
        <w:t xml:space="preserve"> the</w:t>
      </w:r>
    </w:p>
    <w:p w14:paraId="6679338B" w14:textId="594F66DA" w:rsidR="004A5659" w:rsidRPr="00A74683" w:rsidRDefault="00C44554" w:rsidP="004A5659">
      <w:pPr>
        <w:spacing w:after="0" w:line="480" w:lineRule="auto"/>
        <w:jc w:val="center"/>
        <w:rPr>
          <w:rFonts w:ascii="Lato Black" w:hAnsi="Lato Black"/>
          <w:b/>
        </w:rPr>
      </w:pPr>
      <w:r>
        <w:rPr>
          <w:rFonts w:ascii="Lato Black" w:hAnsi="Lato Black"/>
          <w:b/>
        </w:rPr>
        <w:t>Committee on the Budget</w:t>
      </w:r>
    </w:p>
    <w:p w14:paraId="52BB3928" w14:textId="5DB86017" w:rsidR="004A5659" w:rsidRDefault="00C44554" w:rsidP="004A5659">
      <w:pPr>
        <w:spacing w:after="0" w:line="480" w:lineRule="auto"/>
        <w:jc w:val="center"/>
        <w:rPr>
          <w:rFonts w:ascii="Lato Black" w:hAnsi="Lato Black"/>
          <w:b/>
        </w:rPr>
      </w:pPr>
      <w:r>
        <w:rPr>
          <w:rFonts w:ascii="Lato Black" w:hAnsi="Lato Black"/>
          <w:b/>
        </w:rPr>
        <w:t>United States House of Representatives</w:t>
      </w:r>
    </w:p>
    <w:p w14:paraId="62DED827" w14:textId="77777777" w:rsidR="002C3388" w:rsidRDefault="008961F2" w:rsidP="00084E71">
      <w:pPr>
        <w:spacing w:after="0" w:line="480" w:lineRule="auto"/>
        <w:jc w:val="center"/>
        <w:rPr>
          <w:rFonts w:ascii="Lato Black" w:hAnsi="Lato Black"/>
          <w:b/>
        </w:rPr>
      </w:pPr>
      <w:r>
        <w:rPr>
          <w:rFonts w:ascii="Lato Black" w:hAnsi="Lato Black"/>
          <w:b/>
        </w:rPr>
        <w:t>O</w:t>
      </w:r>
      <w:r w:rsidR="003F3C18">
        <w:rPr>
          <w:rFonts w:ascii="Lato Black" w:hAnsi="Lato Black"/>
          <w:b/>
        </w:rPr>
        <w:t>n</w:t>
      </w:r>
    </w:p>
    <w:p w14:paraId="738C8F51" w14:textId="1A174DAD" w:rsidR="004A5659" w:rsidRPr="00A74683" w:rsidRDefault="00C44554" w:rsidP="00084E71">
      <w:pPr>
        <w:spacing w:after="0" w:line="480" w:lineRule="auto"/>
        <w:jc w:val="center"/>
        <w:rPr>
          <w:rFonts w:ascii="Lato Black" w:hAnsi="Lato Black"/>
          <w:b/>
          <w:sz w:val="28"/>
          <w:szCs w:val="28"/>
        </w:rPr>
      </w:pPr>
      <w:r>
        <w:rPr>
          <w:rFonts w:ascii="Lato Black" w:hAnsi="Lato Black"/>
          <w:b/>
          <w:sz w:val="28"/>
          <w:szCs w:val="28"/>
        </w:rPr>
        <w:t>Biennial Budgeting</w:t>
      </w:r>
    </w:p>
    <w:p w14:paraId="02B9B9FB" w14:textId="55B162C6" w:rsidR="00133814" w:rsidRDefault="00C44554" w:rsidP="004A5659">
      <w:pPr>
        <w:spacing w:before="720" w:after="0" w:line="480" w:lineRule="auto"/>
        <w:jc w:val="center"/>
        <w:rPr>
          <w:rFonts w:ascii="Lato Black" w:hAnsi="Lato Black"/>
          <w:b/>
        </w:rPr>
      </w:pPr>
      <w:r>
        <w:rPr>
          <w:rFonts w:ascii="Lato Black" w:hAnsi="Lato Black"/>
          <w:b/>
        </w:rPr>
        <w:t>Wednesday, November</w:t>
      </w:r>
      <w:r w:rsidR="00FD5832">
        <w:rPr>
          <w:rFonts w:ascii="Lato Black" w:hAnsi="Lato Black"/>
          <w:b/>
        </w:rPr>
        <w:t xml:space="preserve"> 18</w:t>
      </w:r>
      <w:r w:rsidR="001153C6">
        <w:rPr>
          <w:rFonts w:ascii="Lato Black" w:hAnsi="Lato Black"/>
          <w:b/>
        </w:rPr>
        <w:t>, 2015</w:t>
      </w:r>
    </w:p>
    <w:p w14:paraId="7449753A" w14:textId="11272A69" w:rsidR="00133814" w:rsidRDefault="00133814" w:rsidP="00133814">
      <w:pPr>
        <w:spacing w:before="720" w:after="0" w:line="480" w:lineRule="auto"/>
        <w:jc w:val="center"/>
        <w:rPr>
          <w:rFonts w:ascii="Lato Black" w:hAnsi="Lato Black"/>
          <w:b/>
          <w:sz w:val="20"/>
          <w:szCs w:val="20"/>
        </w:rPr>
      </w:pPr>
      <w:r w:rsidRPr="008961F2">
        <w:rPr>
          <w:rFonts w:ascii="Lato Black" w:hAnsi="Lato Black"/>
          <w:b/>
          <w:sz w:val="20"/>
          <w:szCs w:val="20"/>
        </w:rPr>
        <w:t>The views expressed are those of the author and should not be attributed to the Urban Institute, its trustees, or its funders.</w:t>
      </w:r>
      <w:r w:rsidRPr="00133814" w:rsidDel="00133814">
        <w:rPr>
          <w:rFonts w:ascii="Lato Black" w:hAnsi="Lato Black"/>
          <w:b/>
          <w:sz w:val="20"/>
          <w:szCs w:val="20"/>
        </w:rPr>
        <w:t xml:space="preserve"> </w:t>
      </w:r>
    </w:p>
    <w:p w14:paraId="55B47C6B" w14:textId="375C4D43" w:rsidR="00007F3D" w:rsidRPr="008961F2" w:rsidRDefault="00007F3D" w:rsidP="008961F2">
      <w:pPr>
        <w:spacing w:before="720" w:after="0" w:line="480" w:lineRule="auto"/>
        <w:rPr>
          <w:rFonts w:ascii="Lato" w:hAnsi="Lato"/>
          <w:b/>
          <w:sz w:val="20"/>
          <w:szCs w:val="20"/>
        </w:rPr>
      </w:pPr>
    </w:p>
    <w:p w14:paraId="220CADB6" w14:textId="77777777" w:rsidR="007C7D29" w:rsidRDefault="007C7D29" w:rsidP="00007F3D">
      <w:pPr>
        <w:spacing w:line="240" w:lineRule="auto"/>
        <w:jc w:val="center"/>
        <w:rPr>
          <w:rFonts w:ascii="Lato" w:hAnsi="Lato"/>
          <w:sz w:val="20"/>
          <w:szCs w:val="20"/>
        </w:rPr>
      </w:pPr>
    </w:p>
    <w:p w14:paraId="5B70D510" w14:textId="12AABEA0" w:rsidR="007C7D29" w:rsidRPr="007C7D29" w:rsidRDefault="007C7D29" w:rsidP="00007F3D">
      <w:pPr>
        <w:spacing w:line="240" w:lineRule="auto"/>
        <w:jc w:val="center"/>
        <w:rPr>
          <w:rFonts w:ascii="Lato" w:hAnsi="Lato"/>
          <w:b/>
          <w:sz w:val="20"/>
          <w:szCs w:val="20"/>
        </w:rPr>
      </w:pPr>
      <w:r>
        <w:rPr>
          <w:rFonts w:ascii="Lato" w:hAnsi="Lato"/>
          <w:b/>
          <w:sz w:val="20"/>
          <w:szCs w:val="20"/>
        </w:rPr>
        <w:t>On Biennial Budgeting</w:t>
      </w:r>
    </w:p>
    <w:p w14:paraId="0815EECA" w14:textId="77777777" w:rsidR="00007F3D" w:rsidRPr="008961F2" w:rsidRDefault="00007F3D" w:rsidP="00007F3D">
      <w:pPr>
        <w:spacing w:line="240" w:lineRule="auto"/>
        <w:jc w:val="center"/>
        <w:rPr>
          <w:rFonts w:ascii="Lato" w:hAnsi="Lato"/>
          <w:b/>
          <w:sz w:val="20"/>
          <w:szCs w:val="20"/>
        </w:rPr>
      </w:pPr>
      <w:r w:rsidRPr="008961F2">
        <w:rPr>
          <w:rFonts w:ascii="Lato" w:hAnsi="Lato"/>
          <w:sz w:val="20"/>
          <w:szCs w:val="20"/>
        </w:rPr>
        <w:lastRenderedPageBreak/>
        <w:t xml:space="preserve">Rudolph G. </w:t>
      </w:r>
      <w:proofErr w:type="spellStart"/>
      <w:r w:rsidRPr="008961F2">
        <w:rPr>
          <w:rFonts w:ascii="Lato" w:hAnsi="Lato"/>
          <w:sz w:val="20"/>
          <w:szCs w:val="20"/>
        </w:rPr>
        <w:t>Penner</w:t>
      </w:r>
      <w:proofErr w:type="spellEnd"/>
      <w:r w:rsidRPr="008961F2">
        <w:rPr>
          <w:rFonts w:ascii="Lato" w:hAnsi="Lato"/>
          <w:sz w:val="20"/>
          <w:szCs w:val="20"/>
        </w:rPr>
        <w:t>*</w:t>
      </w:r>
    </w:p>
    <w:p w14:paraId="4C766DA9" w14:textId="77777777" w:rsidR="00007F3D" w:rsidRPr="008961F2" w:rsidRDefault="00007F3D" w:rsidP="00007F3D">
      <w:pPr>
        <w:spacing w:line="240" w:lineRule="auto"/>
        <w:jc w:val="center"/>
        <w:rPr>
          <w:rFonts w:ascii="Lato" w:hAnsi="Lato"/>
          <w:b/>
          <w:sz w:val="20"/>
          <w:szCs w:val="20"/>
        </w:rPr>
      </w:pPr>
      <w:r w:rsidRPr="008961F2">
        <w:rPr>
          <w:rFonts w:ascii="Lato" w:hAnsi="Lato"/>
          <w:sz w:val="20"/>
          <w:szCs w:val="20"/>
        </w:rPr>
        <w:t>The Urban Institute</w:t>
      </w:r>
    </w:p>
    <w:p w14:paraId="7659C1A9" w14:textId="77777777" w:rsidR="00007F3D" w:rsidRPr="008961F2" w:rsidRDefault="00007F3D" w:rsidP="00007F3D">
      <w:pPr>
        <w:jc w:val="both"/>
        <w:rPr>
          <w:rFonts w:ascii="Lato" w:hAnsi="Lato"/>
          <w:b/>
          <w:sz w:val="20"/>
          <w:szCs w:val="20"/>
        </w:rPr>
      </w:pPr>
    </w:p>
    <w:p w14:paraId="6C67655B" w14:textId="393ECDE7" w:rsidR="00007F3D" w:rsidRPr="008961F2" w:rsidRDefault="00007F3D" w:rsidP="00007F3D">
      <w:pPr>
        <w:jc w:val="both"/>
        <w:rPr>
          <w:rFonts w:ascii="Lato" w:hAnsi="Lato"/>
          <w:b/>
          <w:sz w:val="20"/>
          <w:szCs w:val="20"/>
        </w:rPr>
      </w:pPr>
      <w:r w:rsidRPr="008961F2">
        <w:rPr>
          <w:rFonts w:ascii="Lato" w:hAnsi="Lato"/>
          <w:sz w:val="20"/>
          <w:szCs w:val="20"/>
        </w:rPr>
        <w:t xml:space="preserve">Mr. Chairman, Mr. Van Hollen, and other members of the committee, thank you for the opportunity to testify on biennial budgeting. The term has, at </w:t>
      </w:r>
      <w:r w:rsidR="001C164E" w:rsidRPr="008961F2">
        <w:rPr>
          <w:rFonts w:ascii="Lato" w:hAnsi="Lato"/>
          <w:sz w:val="20"/>
          <w:szCs w:val="20"/>
        </w:rPr>
        <w:t>least, two meanings. In one,</w:t>
      </w:r>
      <w:r w:rsidRPr="008961F2">
        <w:rPr>
          <w:rFonts w:ascii="Lato" w:hAnsi="Lato"/>
          <w:sz w:val="20"/>
          <w:szCs w:val="20"/>
        </w:rPr>
        <w:t xml:space="preserve"> Congress would only pass a budget resolution every other year, but appropriations would be considered every year, as they are now. In the other variant, both the budget resolution and appropriations would be considered every other year. Most of my remarks will focus on the latter variant.</w:t>
      </w:r>
    </w:p>
    <w:p w14:paraId="55A842BA" w14:textId="7B6F7A14" w:rsidR="00007F3D" w:rsidRPr="008961F2" w:rsidRDefault="00007F3D" w:rsidP="00007F3D">
      <w:pPr>
        <w:jc w:val="both"/>
        <w:rPr>
          <w:rFonts w:ascii="Lato" w:hAnsi="Lato"/>
          <w:b/>
          <w:sz w:val="20"/>
          <w:szCs w:val="20"/>
        </w:rPr>
      </w:pPr>
      <w:r w:rsidRPr="008961F2">
        <w:rPr>
          <w:rFonts w:ascii="Lato" w:hAnsi="Lato"/>
          <w:sz w:val="20"/>
          <w:szCs w:val="20"/>
        </w:rPr>
        <w:t>I believe that biennial budgeting would create</w:t>
      </w:r>
      <w:r w:rsidR="001C164E" w:rsidRPr="008961F2">
        <w:rPr>
          <w:rFonts w:ascii="Lato" w:hAnsi="Lato"/>
          <w:sz w:val="20"/>
          <w:szCs w:val="20"/>
        </w:rPr>
        <w:t xml:space="preserve"> several</w:t>
      </w:r>
      <w:r w:rsidRPr="008961F2">
        <w:rPr>
          <w:rFonts w:ascii="Lato" w:hAnsi="Lato"/>
          <w:sz w:val="20"/>
          <w:szCs w:val="20"/>
        </w:rPr>
        <w:t xml:space="preserve"> problems. Things change significantly from year to year and that makes it important to examine budget decisions annually. Changes would not be a problem if they could be forecast, but although budget forecasts are made by very able, hardworking people, they frequently go astray, sometimes badly astray. Indee</w:t>
      </w:r>
      <w:r w:rsidR="0060221B" w:rsidRPr="008961F2">
        <w:rPr>
          <w:rFonts w:ascii="Lato" w:hAnsi="Lato"/>
          <w:sz w:val="20"/>
          <w:szCs w:val="20"/>
        </w:rPr>
        <w:t>d, all forecasters err</w:t>
      </w:r>
      <w:r w:rsidR="00FD5832" w:rsidRPr="008961F2">
        <w:rPr>
          <w:rFonts w:ascii="Lato" w:hAnsi="Lato"/>
          <w:sz w:val="20"/>
          <w:szCs w:val="20"/>
        </w:rPr>
        <w:t xml:space="preserve"> often</w:t>
      </w:r>
      <w:r w:rsidR="00133814">
        <w:rPr>
          <w:rFonts w:ascii="Lato" w:hAnsi="Lato"/>
          <w:sz w:val="20"/>
          <w:szCs w:val="20"/>
        </w:rPr>
        <w:t>,</w:t>
      </w:r>
      <w:r w:rsidRPr="008961F2">
        <w:rPr>
          <w:rFonts w:ascii="Lato" w:hAnsi="Lato"/>
          <w:sz w:val="20"/>
          <w:szCs w:val="20"/>
        </w:rPr>
        <w:t xml:space="preserve"> whether the forecaster is trying to predict the</w:t>
      </w:r>
      <w:r w:rsidR="0060221B" w:rsidRPr="008961F2">
        <w:rPr>
          <w:rFonts w:ascii="Lato" w:hAnsi="Lato"/>
          <w:sz w:val="20"/>
          <w:szCs w:val="20"/>
        </w:rPr>
        <w:t xml:space="preserve"> weather, earthquakes,</w:t>
      </w:r>
      <w:r w:rsidRPr="008961F2">
        <w:rPr>
          <w:rFonts w:ascii="Lato" w:hAnsi="Lato"/>
          <w:sz w:val="20"/>
          <w:szCs w:val="20"/>
        </w:rPr>
        <w:t xml:space="preserve"> or the outcome of elections.</w:t>
      </w:r>
    </w:p>
    <w:p w14:paraId="3314BE5A" w14:textId="0D3D9589" w:rsidR="00007F3D" w:rsidRPr="008961F2" w:rsidRDefault="00007F3D" w:rsidP="00007F3D">
      <w:pPr>
        <w:jc w:val="both"/>
        <w:rPr>
          <w:rFonts w:ascii="Lato" w:hAnsi="Lato"/>
          <w:b/>
          <w:sz w:val="20"/>
          <w:szCs w:val="20"/>
        </w:rPr>
      </w:pPr>
      <w:r w:rsidRPr="008961F2">
        <w:rPr>
          <w:rFonts w:ascii="Lato" w:hAnsi="Lato"/>
          <w:sz w:val="20"/>
          <w:szCs w:val="20"/>
        </w:rPr>
        <w:t>A number of years ago I examined the accuracy of Congressional Budget Office (CBO) revenue forecasts.</w:t>
      </w:r>
      <w:r w:rsidRPr="008961F2">
        <w:rPr>
          <w:rStyle w:val="FootnoteReference"/>
          <w:rFonts w:ascii="Lato" w:hAnsi="Lato"/>
          <w:sz w:val="20"/>
          <w:szCs w:val="20"/>
        </w:rPr>
        <w:footnoteReference w:id="1"/>
      </w:r>
      <w:r w:rsidRPr="008961F2">
        <w:rPr>
          <w:rFonts w:ascii="Lato" w:hAnsi="Lato"/>
          <w:sz w:val="20"/>
          <w:szCs w:val="20"/>
        </w:rPr>
        <w:t xml:space="preserve"> I</w:t>
      </w:r>
      <w:r w:rsidR="001C164E" w:rsidRPr="008961F2">
        <w:rPr>
          <w:rFonts w:ascii="Lato" w:hAnsi="Lato"/>
          <w:sz w:val="20"/>
          <w:szCs w:val="20"/>
        </w:rPr>
        <w:t xml:space="preserve"> did not mean to criticize</w:t>
      </w:r>
      <w:r w:rsidRPr="008961F2">
        <w:rPr>
          <w:rFonts w:ascii="Lato" w:hAnsi="Lato"/>
          <w:sz w:val="20"/>
          <w:szCs w:val="20"/>
        </w:rPr>
        <w:t xml:space="preserve"> CBO. The results would have been similar for any forecasting group. Perhaps unfortunately for CBO, it is very transparent about its foreca</w:t>
      </w:r>
      <w:r w:rsidR="00FD5832" w:rsidRPr="008961F2">
        <w:rPr>
          <w:rFonts w:ascii="Lato" w:hAnsi="Lato"/>
          <w:sz w:val="20"/>
          <w:szCs w:val="20"/>
        </w:rPr>
        <w:t>sting errors and that makes its errors</w:t>
      </w:r>
      <w:r w:rsidRPr="008961F2">
        <w:rPr>
          <w:rFonts w:ascii="Lato" w:hAnsi="Lato"/>
          <w:sz w:val="20"/>
          <w:szCs w:val="20"/>
        </w:rPr>
        <w:t xml:space="preserve"> easy to study.</w:t>
      </w:r>
    </w:p>
    <w:p w14:paraId="3DD741EF" w14:textId="5D43E505" w:rsidR="00007F3D" w:rsidRPr="008961F2" w:rsidRDefault="00007F3D" w:rsidP="00007F3D">
      <w:pPr>
        <w:jc w:val="both"/>
        <w:rPr>
          <w:rFonts w:ascii="Lato" w:hAnsi="Lato"/>
          <w:b/>
          <w:sz w:val="20"/>
          <w:szCs w:val="20"/>
        </w:rPr>
      </w:pPr>
      <w:r w:rsidRPr="008961F2">
        <w:rPr>
          <w:rFonts w:ascii="Lato" w:hAnsi="Lato"/>
          <w:sz w:val="20"/>
          <w:szCs w:val="20"/>
        </w:rPr>
        <w:t>The most important CBO revenue forecast is usually put together in January</w:t>
      </w:r>
      <w:r w:rsidRPr="008961F2">
        <w:rPr>
          <w:rStyle w:val="FootnoteReference"/>
          <w:rFonts w:ascii="Lato" w:hAnsi="Lato"/>
          <w:sz w:val="20"/>
          <w:szCs w:val="20"/>
        </w:rPr>
        <w:footnoteReference w:id="2"/>
      </w:r>
      <w:r w:rsidRPr="008961F2">
        <w:rPr>
          <w:rFonts w:ascii="Lato" w:hAnsi="Lato"/>
          <w:sz w:val="20"/>
          <w:szCs w:val="20"/>
        </w:rPr>
        <w:t xml:space="preserve"> for the fiscal year that begins the following October 1. It serves as a basis for debating and then formulating the budget resolution. The average absolute </w:t>
      </w:r>
      <w:r w:rsidR="001C164E" w:rsidRPr="008961F2">
        <w:rPr>
          <w:rFonts w:ascii="Lato" w:hAnsi="Lato"/>
          <w:sz w:val="20"/>
          <w:szCs w:val="20"/>
        </w:rPr>
        <w:t xml:space="preserve">forecasting </w:t>
      </w:r>
      <w:r w:rsidRPr="008961F2">
        <w:rPr>
          <w:rFonts w:ascii="Lato" w:hAnsi="Lato"/>
          <w:sz w:val="20"/>
          <w:szCs w:val="20"/>
        </w:rPr>
        <w:t xml:space="preserve">error for the period 1984 to 2005 was 0.8 percent of GDP. That equals approximately $140 billion at the level of fiscal 2015 GDP. The error amounts to almost one third of the actual 2015 deficit and somewhat more than 4 percent of 2015 revenues. I believe that errors that large imply that the Congress should not wait two years before considering a new budget resolution. And, of course, I am talking about an average error. </w:t>
      </w:r>
      <w:r w:rsidR="00133814">
        <w:rPr>
          <w:rFonts w:ascii="Lato" w:hAnsi="Lato"/>
          <w:sz w:val="20"/>
          <w:szCs w:val="20"/>
        </w:rPr>
        <w:t>Frequently</w:t>
      </w:r>
      <w:r w:rsidRPr="008961F2">
        <w:rPr>
          <w:rFonts w:ascii="Lato" w:hAnsi="Lato"/>
          <w:sz w:val="20"/>
          <w:szCs w:val="20"/>
        </w:rPr>
        <w:t xml:space="preserve"> mistakes are very much larger. The largest error made in the period involved the January 2001 forecast for fiscal 2002. It equaled 3.2 percent of GDP or about $570 billion at current levels of GDP. Admittedly, my research is out of date, but I doubt that the average error has improved in recent years. Forecasters faced extreme challenges and made big mistakes during the Great Recession.</w:t>
      </w:r>
    </w:p>
    <w:p w14:paraId="0609535B" w14:textId="77777777" w:rsidR="00007F3D" w:rsidRPr="008961F2" w:rsidRDefault="00007F3D" w:rsidP="00007F3D">
      <w:pPr>
        <w:jc w:val="both"/>
        <w:rPr>
          <w:rFonts w:ascii="Lato" w:hAnsi="Lato"/>
          <w:b/>
          <w:sz w:val="20"/>
          <w:szCs w:val="20"/>
        </w:rPr>
      </w:pPr>
      <w:r w:rsidRPr="008961F2">
        <w:rPr>
          <w:rFonts w:ascii="Lato" w:hAnsi="Lato"/>
          <w:sz w:val="20"/>
          <w:szCs w:val="20"/>
        </w:rPr>
        <w:t xml:space="preserve">Forecasts of how individual programs will evolve can also be horribly misguided. The need for a particular program can go up or down unexpectedly; there can be cost overruns, or less frequently, unanticipated savings; and the costs of materials and personnel are always difficult to predict. If appropriations were done only every two years, it is likely that there would be a demand for numerous </w:t>
      </w:r>
      <w:proofErr w:type="spellStart"/>
      <w:r w:rsidRPr="008961F2">
        <w:rPr>
          <w:rFonts w:ascii="Lato" w:hAnsi="Lato"/>
          <w:sz w:val="20"/>
          <w:szCs w:val="20"/>
        </w:rPr>
        <w:t>supplementals</w:t>
      </w:r>
      <w:proofErr w:type="spellEnd"/>
      <w:r w:rsidRPr="008961F2">
        <w:rPr>
          <w:rFonts w:ascii="Lato" w:hAnsi="Lato"/>
          <w:sz w:val="20"/>
          <w:szCs w:val="20"/>
        </w:rPr>
        <w:t xml:space="preserve"> during the off year and </w:t>
      </w:r>
      <w:proofErr w:type="spellStart"/>
      <w:r w:rsidRPr="008961F2">
        <w:rPr>
          <w:rFonts w:ascii="Lato" w:hAnsi="Lato"/>
          <w:sz w:val="20"/>
          <w:szCs w:val="20"/>
        </w:rPr>
        <w:t>supplementals</w:t>
      </w:r>
      <w:proofErr w:type="spellEnd"/>
      <w:r w:rsidRPr="008961F2">
        <w:rPr>
          <w:rFonts w:ascii="Lato" w:hAnsi="Lato"/>
          <w:sz w:val="20"/>
          <w:szCs w:val="20"/>
        </w:rPr>
        <w:t xml:space="preserve"> are more difficult to discipline than regular appropriations.</w:t>
      </w:r>
    </w:p>
    <w:p w14:paraId="2ECF8242" w14:textId="10B5E9C1" w:rsidR="00007F3D" w:rsidRPr="008961F2" w:rsidRDefault="00007F3D" w:rsidP="00007F3D">
      <w:pPr>
        <w:jc w:val="both"/>
        <w:rPr>
          <w:rFonts w:ascii="Lato" w:hAnsi="Lato"/>
          <w:b/>
          <w:sz w:val="20"/>
          <w:szCs w:val="20"/>
        </w:rPr>
      </w:pPr>
      <w:r w:rsidRPr="008961F2">
        <w:rPr>
          <w:rFonts w:ascii="Lato" w:hAnsi="Lato"/>
          <w:sz w:val="20"/>
          <w:szCs w:val="20"/>
        </w:rPr>
        <w:t xml:space="preserve">There is, of course, a place for multiyear appropriations, but </w:t>
      </w:r>
      <w:r w:rsidR="00607B0C">
        <w:rPr>
          <w:rFonts w:ascii="Lato" w:hAnsi="Lato"/>
          <w:sz w:val="20"/>
          <w:szCs w:val="20"/>
        </w:rPr>
        <w:t>they</w:t>
      </w:r>
      <w:r w:rsidRPr="008961F2">
        <w:rPr>
          <w:rFonts w:ascii="Lato" w:hAnsi="Lato"/>
          <w:sz w:val="20"/>
          <w:szCs w:val="20"/>
        </w:rPr>
        <w:t xml:space="preserve"> should be the exception rather than the rule. Such appropriations are required for large multiyear projects, such as building an aircraft carrier or for large infrastructure projects.</w:t>
      </w:r>
    </w:p>
    <w:p w14:paraId="69C4DA4B" w14:textId="2DD54B09" w:rsidR="00007F3D" w:rsidRPr="008961F2" w:rsidRDefault="00007F3D" w:rsidP="00007F3D">
      <w:pPr>
        <w:jc w:val="both"/>
        <w:rPr>
          <w:rFonts w:ascii="Lato" w:hAnsi="Lato"/>
          <w:b/>
          <w:sz w:val="20"/>
          <w:szCs w:val="20"/>
        </w:rPr>
      </w:pPr>
      <w:r w:rsidRPr="008961F2">
        <w:rPr>
          <w:rFonts w:ascii="Lato" w:hAnsi="Lato"/>
          <w:sz w:val="20"/>
          <w:szCs w:val="20"/>
        </w:rPr>
        <w:lastRenderedPageBreak/>
        <w:t>Many favor biennial budgeting because it is supposed to free up more time for the oversight of programs. I have my doubts. The Budget and Impoundment Control Act of 1974 moved the beginning of the fiscal year from July 1 to October 1 in order to give Appropriations Committees more time to complete their tasks between the release of the president’s budget and the beginning of the fiscal year. On</w:t>
      </w:r>
      <w:r w:rsidR="00133814">
        <w:rPr>
          <w:rFonts w:ascii="Lato" w:hAnsi="Lato"/>
          <w:sz w:val="20"/>
          <w:szCs w:val="20"/>
        </w:rPr>
        <w:t>-</w:t>
      </w:r>
      <w:r w:rsidRPr="008961F2">
        <w:rPr>
          <w:rFonts w:ascii="Lato" w:hAnsi="Lato"/>
          <w:sz w:val="20"/>
          <w:szCs w:val="20"/>
        </w:rPr>
        <w:t>time performance has deteriorated markedly since that reform was implemented.</w:t>
      </w:r>
      <w:r w:rsidRPr="008961F2">
        <w:rPr>
          <w:rStyle w:val="FootnoteReference"/>
          <w:rFonts w:ascii="Lato" w:hAnsi="Lato"/>
          <w:sz w:val="20"/>
          <w:szCs w:val="20"/>
        </w:rPr>
        <w:footnoteReference w:id="3"/>
      </w:r>
      <w:r w:rsidRPr="008961F2">
        <w:rPr>
          <w:rFonts w:ascii="Lato" w:hAnsi="Lato"/>
          <w:sz w:val="20"/>
          <w:szCs w:val="20"/>
        </w:rPr>
        <w:t xml:space="preserve"> I fear that if we went to biennial budgeting, the appropriations process could take two years to complete two-year appropriations.</w:t>
      </w:r>
    </w:p>
    <w:p w14:paraId="3FF7518D" w14:textId="77777777" w:rsidR="00007F3D" w:rsidRPr="008961F2" w:rsidRDefault="00007F3D" w:rsidP="00007F3D">
      <w:pPr>
        <w:jc w:val="both"/>
        <w:rPr>
          <w:rFonts w:ascii="Lato" w:hAnsi="Lato"/>
          <w:b/>
          <w:sz w:val="20"/>
          <w:szCs w:val="20"/>
        </w:rPr>
      </w:pPr>
      <w:r w:rsidRPr="008961F2">
        <w:rPr>
          <w:rFonts w:ascii="Lato" w:hAnsi="Lato"/>
          <w:sz w:val="20"/>
          <w:szCs w:val="20"/>
        </w:rPr>
        <w:t>Moreover, it was my personal experience working at CBO and in the executive branch that the most intense scrutiny of programs where I had some responsibility came in the annual appropriation process. Moving to a two-year budget might reduce rather than intensify that kind of oversight.</w:t>
      </w:r>
    </w:p>
    <w:p w14:paraId="0E00740E" w14:textId="77777777" w:rsidR="00007F3D" w:rsidRPr="008961F2" w:rsidRDefault="00007F3D" w:rsidP="00007F3D">
      <w:pPr>
        <w:jc w:val="both"/>
        <w:rPr>
          <w:rFonts w:ascii="Lato" w:hAnsi="Lato"/>
          <w:b/>
          <w:sz w:val="20"/>
          <w:szCs w:val="20"/>
        </w:rPr>
      </w:pPr>
      <w:r w:rsidRPr="008961F2">
        <w:rPr>
          <w:rFonts w:ascii="Lato" w:hAnsi="Lato"/>
          <w:sz w:val="20"/>
          <w:szCs w:val="20"/>
        </w:rPr>
        <w:t>There is another problem with biennial budgeting. Budgeting is one of the most complicated tasks performed by humans. If time were unlimited, each government activity should be traded off against every other government activity and against different levels of taxation and the deficit. But that would imply examining many millions of tradeoffs. Even if we could forecast perfectly, that would be a herculean task, and obviously, time is not unlimited.</w:t>
      </w:r>
    </w:p>
    <w:p w14:paraId="4270EACB" w14:textId="77777777" w:rsidR="00007F3D" w:rsidRPr="008961F2" w:rsidRDefault="00007F3D" w:rsidP="00007F3D">
      <w:pPr>
        <w:jc w:val="both"/>
        <w:rPr>
          <w:rFonts w:ascii="Lato" w:hAnsi="Lato"/>
          <w:b/>
          <w:sz w:val="20"/>
          <w:szCs w:val="20"/>
        </w:rPr>
      </w:pPr>
      <w:r w:rsidRPr="008961F2">
        <w:rPr>
          <w:rFonts w:ascii="Lato" w:hAnsi="Lato"/>
          <w:sz w:val="20"/>
          <w:szCs w:val="20"/>
        </w:rPr>
        <w:t>The best we can do each year is to focus on a small portion of the entire universe of possible issues. That turns budgeting into an iterative process. Perfection is never attained, but each step represents an opportunity to improve the allocation of resources. That is why we should take a step every year instead of every two years.</w:t>
      </w:r>
    </w:p>
    <w:p w14:paraId="00EC3FF2" w14:textId="6AAC5B67" w:rsidR="00007F3D" w:rsidRPr="008961F2" w:rsidRDefault="00007F3D" w:rsidP="00007F3D">
      <w:pPr>
        <w:jc w:val="both"/>
        <w:rPr>
          <w:rFonts w:ascii="Lato" w:hAnsi="Lato"/>
          <w:b/>
          <w:sz w:val="20"/>
          <w:szCs w:val="20"/>
        </w:rPr>
      </w:pPr>
      <w:r w:rsidRPr="008961F2">
        <w:rPr>
          <w:rFonts w:ascii="Lato" w:hAnsi="Lato"/>
          <w:sz w:val="20"/>
          <w:szCs w:val="20"/>
        </w:rPr>
        <w:t>It is also true that the political chances for improving our unsustainable fiscal situation vary up and down over the years. It would be a great tragedy if one of the best chances occurred in an off year of a two</w:t>
      </w:r>
      <w:r w:rsidR="00133814">
        <w:rPr>
          <w:rFonts w:ascii="Lato" w:hAnsi="Lato"/>
          <w:sz w:val="20"/>
          <w:szCs w:val="20"/>
        </w:rPr>
        <w:t>-</w:t>
      </w:r>
      <w:r w:rsidRPr="008961F2">
        <w:rPr>
          <w:rFonts w:ascii="Lato" w:hAnsi="Lato"/>
          <w:sz w:val="20"/>
          <w:szCs w:val="20"/>
        </w:rPr>
        <w:t xml:space="preserve">year budget cycle. </w:t>
      </w:r>
    </w:p>
    <w:p w14:paraId="75959519" w14:textId="77777777" w:rsidR="00942B99" w:rsidRPr="008961F2" w:rsidRDefault="00942B99" w:rsidP="00423054">
      <w:pPr>
        <w:rPr>
          <w:rFonts w:ascii="Lato" w:hAnsi="Lato"/>
          <w:sz w:val="20"/>
          <w:szCs w:val="20"/>
        </w:rPr>
      </w:pPr>
    </w:p>
    <w:sectPr w:rsidR="00942B99" w:rsidRPr="008961F2" w:rsidSect="00A74683">
      <w:footerReference w:type="default" r:id="rId9"/>
      <w:headerReference w:type="first" r:id="rId1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B01EA9" w14:textId="77777777" w:rsidR="00274FD6" w:rsidRDefault="00274FD6" w:rsidP="00752948">
      <w:pPr>
        <w:spacing w:after="0" w:line="240" w:lineRule="auto"/>
      </w:pPr>
      <w:r>
        <w:separator/>
      </w:r>
    </w:p>
  </w:endnote>
  <w:endnote w:type="continuationSeparator" w:id="0">
    <w:p w14:paraId="4312C1D9" w14:textId="77777777" w:rsidR="00274FD6" w:rsidRDefault="00274FD6" w:rsidP="00752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ato Black">
    <w:altName w:val="Arial"/>
    <w:charset w:val="00"/>
    <w:family w:val="swiss"/>
    <w:pitch w:val="variable"/>
    <w:sig w:usb0="A00000AF" w:usb1="5000604B" w:usb2="00000000" w:usb3="00000000" w:csb0="00000093" w:csb1="00000000"/>
  </w:font>
  <w:font w:name="Lato">
    <w:altName w:val="Calibri"/>
    <w:charset w:val="00"/>
    <w:family w:val="swiss"/>
    <w:pitch w:val="variable"/>
    <w:sig w:usb0="A00000AF" w:usb1="5000604B"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8689805"/>
      <w:docPartObj>
        <w:docPartGallery w:val="Page Numbers (Bottom of Page)"/>
        <w:docPartUnique/>
      </w:docPartObj>
    </w:sdtPr>
    <w:sdtEndPr>
      <w:rPr>
        <w:noProof/>
      </w:rPr>
    </w:sdtEndPr>
    <w:sdtContent>
      <w:p w14:paraId="7419FCCB" w14:textId="77777777" w:rsidR="001D006B" w:rsidRDefault="00AC061C">
        <w:pPr>
          <w:pStyle w:val="Footer"/>
          <w:jc w:val="center"/>
        </w:pPr>
        <w:r>
          <w:fldChar w:fldCharType="begin"/>
        </w:r>
        <w:r>
          <w:instrText xml:space="preserve"> PAGE   \* MERGEFORMAT </w:instrText>
        </w:r>
        <w:r>
          <w:fldChar w:fldCharType="separate"/>
        </w:r>
        <w:r w:rsidR="006A062A">
          <w:rPr>
            <w:noProof/>
          </w:rPr>
          <w:t>2</w:t>
        </w:r>
        <w:r>
          <w:rPr>
            <w:noProof/>
          </w:rPr>
          <w:fldChar w:fldCharType="end"/>
        </w:r>
      </w:p>
    </w:sdtContent>
  </w:sdt>
  <w:p w14:paraId="2403F7F3" w14:textId="77777777" w:rsidR="001D006B" w:rsidRDefault="001D00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F2C4F9" w14:textId="77777777" w:rsidR="00274FD6" w:rsidRDefault="00274FD6" w:rsidP="00752948">
      <w:pPr>
        <w:spacing w:after="0" w:line="240" w:lineRule="auto"/>
      </w:pPr>
      <w:r>
        <w:separator/>
      </w:r>
    </w:p>
  </w:footnote>
  <w:footnote w:type="continuationSeparator" w:id="0">
    <w:p w14:paraId="1AA539F3" w14:textId="77777777" w:rsidR="00274FD6" w:rsidRDefault="00274FD6" w:rsidP="00752948">
      <w:pPr>
        <w:spacing w:after="0" w:line="240" w:lineRule="auto"/>
      </w:pPr>
      <w:r>
        <w:continuationSeparator/>
      </w:r>
    </w:p>
  </w:footnote>
  <w:footnote w:id="1">
    <w:p w14:paraId="025DE45C" w14:textId="77777777" w:rsidR="00007F3D" w:rsidRDefault="00007F3D" w:rsidP="00007F3D">
      <w:pPr>
        <w:pStyle w:val="FootnoteText"/>
        <w:rPr>
          <w:b/>
        </w:rPr>
      </w:pPr>
      <w:r>
        <w:t>*The views expressed are those of the author and should not be attributed to the Urban Institute, its trustees or its funders.</w:t>
      </w:r>
    </w:p>
    <w:p w14:paraId="670E4ECC" w14:textId="77777777" w:rsidR="00007F3D" w:rsidRPr="008C0376" w:rsidRDefault="00007F3D" w:rsidP="00007F3D">
      <w:pPr>
        <w:pStyle w:val="FootnoteText"/>
        <w:rPr>
          <w:b/>
        </w:rPr>
      </w:pPr>
      <w:r w:rsidRPr="008C0376">
        <w:rPr>
          <w:rStyle w:val="FootnoteReference"/>
        </w:rPr>
        <w:footnoteRef/>
      </w:r>
      <w:r w:rsidRPr="008C0376">
        <w:t xml:space="preserve"> Rudolph G. </w:t>
      </w:r>
      <w:proofErr w:type="spellStart"/>
      <w:r w:rsidRPr="008C0376">
        <w:t>Penner</w:t>
      </w:r>
      <w:proofErr w:type="spellEnd"/>
      <w:r>
        <w:t xml:space="preserve">, “Federal Revenue Forecasts,” published in </w:t>
      </w:r>
      <w:r>
        <w:rPr>
          <w:i/>
        </w:rPr>
        <w:t>Government Budget Forecasting: Theory and Practice,</w:t>
      </w:r>
      <w:r>
        <w:t xml:space="preserve"> edited by Jinping Sun and Thomas D. Lynch, Boca Raton, FL, Taylor and Francis Group, 2008.</w:t>
      </w:r>
    </w:p>
  </w:footnote>
  <w:footnote w:id="2">
    <w:p w14:paraId="2AF1E859" w14:textId="77777777" w:rsidR="00007F3D" w:rsidRPr="00794E0E" w:rsidRDefault="00007F3D" w:rsidP="00007F3D">
      <w:pPr>
        <w:pStyle w:val="FootnoteText"/>
        <w:rPr>
          <w:b/>
        </w:rPr>
      </w:pPr>
      <w:r>
        <w:rPr>
          <w:rStyle w:val="FootnoteReference"/>
        </w:rPr>
        <w:footnoteRef/>
      </w:r>
      <w:r>
        <w:t xml:space="preserve"> </w:t>
      </w:r>
      <w:r w:rsidRPr="00794E0E">
        <w:t>The January forecast is sometimes altered slightly before the official baseline is finalized in March or April.</w:t>
      </w:r>
    </w:p>
  </w:footnote>
  <w:footnote w:id="3">
    <w:p w14:paraId="1D6B6FB5" w14:textId="1D60F466" w:rsidR="00007F3D" w:rsidRPr="0053225A" w:rsidRDefault="00007F3D" w:rsidP="00007F3D">
      <w:pPr>
        <w:pStyle w:val="FootnoteText"/>
        <w:rPr>
          <w:b/>
        </w:rPr>
      </w:pPr>
      <w:r>
        <w:rPr>
          <w:rStyle w:val="FootnoteReference"/>
        </w:rPr>
        <w:footnoteRef/>
      </w:r>
      <w:r>
        <w:t xml:space="preserve"> </w:t>
      </w:r>
      <w:r w:rsidR="0060221B">
        <w:t>Since 2010, n</w:t>
      </w:r>
      <w:r w:rsidRPr="0053225A">
        <w:t>o regular appropriations bills have</w:t>
      </w:r>
      <w:r>
        <w:t xml:space="preserve"> been ena</w:t>
      </w:r>
      <w:r w:rsidR="0060221B">
        <w:t>cted before October 1</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50818A" w14:textId="77777777" w:rsidR="001D006B" w:rsidRDefault="001D006B">
    <w:pPr>
      <w:pStyle w:val="Header"/>
    </w:pPr>
    <w:r>
      <w:rPr>
        <w:noProof/>
      </w:rPr>
      <w:drawing>
        <wp:inline distT="0" distB="0" distL="0" distR="0" wp14:anchorId="5FE9CC56" wp14:editId="2750F1E2">
          <wp:extent cx="4613945" cy="1257300"/>
          <wp:effectExtent l="0" t="0" r="0" b="0"/>
          <wp:docPr id="2" name="Picture 2" descr="http://datatools.urban.org/Features/newUrban/img/LOGOS/small/urban_grid_elevate_blue_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atatools.urban.org/Features/newUrban/img/LOGOS/small/urban_grid_elevate_blue_whit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13945" cy="12573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A0B7C"/>
    <w:multiLevelType w:val="hybridMultilevel"/>
    <w:tmpl w:val="26862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097D28"/>
    <w:multiLevelType w:val="hybridMultilevel"/>
    <w:tmpl w:val="93FC97C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
    <w:nsid w:val="0CB22ECE"/>
    <w:multiLevelType w:val="hybridMultilevel"/>
    <w:tmpl w:val="B6F20F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3BC43D0"/>
    <w:multiLevelType w:val="hybridMultilevel"/>
    <w:tmpl w:val="7172B290"/>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4">
    <w:nsid w:val="208F3DE6"/>
    <w:multiLevelType w:val="multilevel"/>
    <w:tmpl w:val="E2CAE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96588C"/>
    <w:multiLevelType w:val="hybridMultilevel"/>
    <w:tmpl w:val="7F52DA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B62B6E"/>
    <w:multiLevelType w:val="hybridMultilevel"/>
    <w:tmpl w:val="1D0004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50088D"/>
    <w:multiLevelType w:val="hybridMultilevel"/>
    <w:tmpl w:val="7A987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B26951"/>
    <w:multiLevelType w:val="hybridMultilevel"/>
    <w:tmpl w:val="23AA9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D845CD"/>
    <w:multiLevelType w:val="hybridMultilevel"/>
    <w:tmpl w:val="10085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A180B27"/>
    <w:multiLevelType w:val="hybridMultilevel"/>
    <w:tmpl w:val="EE06F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BA36F9"/>
    <w:multiLevelType w:val="hybridMultilevel"/>
    <w:tmpl w:val="363CE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9C50997"/>
    <w:multiLevelType w:val="hybridMultilevel"/>
    <w:tmpl w:val="4AEEE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A12B0B5"/>
    <w:multiLevelType w:val="hybridMultilevel"/>
    <w:tmpl w:val="0B68ACB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9"/>
  </w:num>
  <w:num w:numId="3">
    <w:abstractNumId w:val="10"/>
  </w:num>
  <w:num w:numId="4">
    <w:abstractNumId w:val="8"/>
  </w:num>
  <w:num w:numId="5">
    <w:abstractNumId w:val="5"/>
  </w:num>
  <w:num w:numId="6">
    <w:abstractNumId w:val="2"/>
  </w:num>
  <w:num w:numId="7">
    <w:abstractNumId w:val="3"/>
  </w:num>
  <w:num w:numId="8">
    <w:abstractNumId w:val="11"/>
  </w:num>
  <w:num w:numId="9">
    <w:abstractNumId w:val="12"/>
  </w:num>
  <w:num w:numId="10">
    <w:abstractNumId w:val="7"/>
  </w:num>
  <w:num w:numId="11">
    <w:abstractNumId w:val="6"/>
  </w:num>
  <w:num w:numId="12">
    <w:abstractNumId w:val="0"/>
  </w:num>
  <w:num w:numId="13">
    <w:abstractNumId w:val="1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659"/>
    <w:rsid w:val="00001C26"/>
    <w:rsid w:val="00007F3D"/>
    <w:rsid w:val="00020CA6"/>
    <w:rsid w:val="00026C19"/>
    <w:rsid w:val="000431C8"/>
    <w:rsid w:val="000603C2"/>
    <w:rsid w:val="00072624"/>
    <w:rsid w:val="00076B07"/>
    <w:rsid w:val="00084E71"/>
    <w:rsid w:val="000859FC"/>
    <w:rsid w:val="000A7BC9"/>
    <w:rsid w:val="000D7B09"/>
    <w:rsid w:val="001004A6"/>
    <w:rsid w:val="00112089"/>
    <w:rsid w:val="001153C6"/>
    <w:rsid w:val="00116C7E"/>
    <w:rsid w:val="00133814"/>
    <w:rsid w:val="001342B6"/>
    <w:rsid w:val="00144F17"/>
    <w:rsid w:val="001634A3"/>
    <w:rsid w:val="001639ED"/>
    <w:rsid w:val="00171359"/>
    <w:rsid w:val="00174494"/>
    <w:rsid w:val="001A7298"/>
    <w:rsid w:val="001B2707"/>
    <w:rsid w:val="001B41F9"/>
    <w:rsid w:val="001C164E"/>
    <w:rsid w:val="001D006B"/>
    <w:rsid w:val="001F0A54"/>
    <w:rsid w:val="001F35A3"/>
    <w:rsid w:val="0023307F"/>
    <w:rsid w:val="002429C7"/>
    <w:rsid w:val="00243BCB"/>
    <w:rsid w:val="002614F0"/>
    <w:rsid w:val="00274FD6"/>
    <w:rsid w:val="002A73EC"/>
    <w:rsid w:val="002C1E71"/>
    <w:rsid w:val="002C3388"/>
    <w:rsid w:val="002D516C"/>
    <w:rsid w:val="002F00C9"/>
    <w:rsid w:val="002F4337"/>
    <w:rsid w:val="00303DD6"/>
    <w:rsid w:val="00313104"/>
    <w:rsid w:val="00325B39"/>
    <w:rsid w:val="00326EA7"/>
    <w:rsid w:val="00353AE3"/>
    <w:rsid w:val="003631DD"/>
    <w:rsid w:val="00387E98"/>
    <w:rsid w:val="003A7564"/>
    <w:rsid w:val="003C02BA"/>
    <w:rsid w:val="003C5B68"/>
    <w:rsid w:val="003D010B"/>
    <w:rsid w:val="003E43F3"/>
    <w:rsid w:val="003E647F"/>
    <w:rsid w:val="003F3C18"/>
    <w:rsid w:val="00414997"/>
    <w:rsid w:val="00423054"/>
    <w:rsid w:val="00443716"/>
    <w:rsid w:val="0046518B"/>
    <w:rsid w:val="00471CA2"/>
    <w:rsid w:val="00480E11"/>
    <w:rsid w:val="00486875"/>
    <w:rsid w:val="00496211"/>
    <w:rsid w:val="004A5659"/>
    <w:rsid w:val="004B26BB"/>
    <w:rsid w:val="004D30DE"/>
    <w:rsid w:val="004F7C5A"/>
    <w:rsid w:val="00527622"/>
    <w:rsid w:val="00530AD9"/>
    <w:rsid w:val="00542C13"/>
    <w:rsid w:val="005461FB"/>
    <w:rsid w:val="00554338"/>
    <w:rsid w:val="005559E7"/>
    <w:rsid w:val="0056117D"/>
    <w:rsid w:val="005653CF"/>
    <w:rsid w:val="0057204D"/>
    <w:rsid w:val="00581EC5"/>
    <w:rsid w:val="005A427B"/>
    <w:rsid w:val="005A4539"/>
    <w:rsid w:val="005B385F"/>
    <w:rsid w:val="005C3A34"/>
    <w:rsid w:val="0060221B"/>
    <w:rsid w:val="00605D14"/>
    <w:rsid w:val="00607B0C"/>
    <w:rsid w:val="00612A7F"/>
    <w:rsid w:val="00614C38"/>
    <w:rsid w:val="00643F75"/>
    <w:rsid w:val="006459FB"/>
    <w:rsid w:val="006526EE"/>
    <w:rsid w:val="00654268"/>
    <w:rsid w:val="00655CC1"/>
    <w:rsid w:val="0066725D"/>
    <w:rsid w:val="006A062A"/>
    <w:rsid w:val="006B5B91"/>
    <w:rsid w:val="006B7EFD"/>
    <w:rsid w:val="006E0FF4"/>
    <w:rsid w:val="006F6485"/>
    <w:rsid w:val="00747774"/>
    <w:rsid w:val="00752948"/>
    <w:rsid w:val="0075663F"/>
    <w:rsid w:val="00760DF9"/>
    <w:rsid w:val="00771624"/>
    <w:rsid w:val="00775FC4"/>
    <w:rsid w:val="00782F15"/>
    <w:rsid w:val="00792823"/>
    <w:rsid w:val="00793896"/>
    <w:rsid w:val="007A0486"/>
    <w:rsid w:val="007B7EC0"/>
    <w:rsid w:val="007C7D29"/>
    <w:rsid w:val="007F4CE9"/>
    <w:rsid w:val="00825412"/>
    <w:rsid w:val="00825DC6"/>
    <w:rsid w:val="00844F50"/>
    <w:rsid w:val="008527C3"/>
    <w:rsid w:val="00867892"/>
    <w:rsid w:val="0087540D"/>
    <w:rsid w:val="008961F2"/>
    <w:rsid w:val="008F7C67"/>
    <w:rsid w:val="009002DC"/>
    <w:rsid w:val="009024FD"/>
    <w:rsid w:val="009055E0"/>
    <w:rsid w:val="00942B99"/>
    <w:rsid w:val="00945901"/>
    <w:rsid w:val="009655CF"/>
    <w:rsid w:val="009669A1"/>
    <w:rsid w:val="00972190"/>
    <w:rsid w:val="009937E4"/>
    <w:rsid w:val="009A7F0F"/>
    <w:rsid w:val="009C0483"/>
    <w:rsid w:val="009D7A58"/>
    <w:rsid w:val="009F4287"/>
    <w:rsid w:val="00A2344D"/>
    <w:rsid w:val="00A74683"/>
    <w:rsid w:val="00A93688"/>
    <w:rsid w:val="00A94719"/>
    <w:rsid w:val="00AA2744"/>
    <w:rsid w:val="00AA6CB1"/>
    <w:rsid w:val="00AC061C"/>
    <w:rsid w:val="00AD1D3D"/>
    <w:rsid w:val="00AF1759"/>
    <w:rsid w:val="00AF5A35"/>
    <w:rsid w:val="00B00FF4"/>
    <w:rsid w:val="00B34B97"/>
    <w:rsid w:val="00B7552B"/>
    <w:rsid w:val="00BE3C34"/>
    <w:rsid w:val="00C00621"/>
    <w:rsid w:val="00C0333F"/>
    <w:rsid w:val="00C11431"/>
    <w:rsid w:val="00C1421A"/>
    <w:rsid w:val="00C24D68"/>
    <w:rsid w:val="00C43516"/>
    <w:rsid w:val="00C44554"/>
    <w:rsid w:val="00C50E6B"/>
    <w:rsid w:val="00C6154B"/>
    <w:rsid w:val="00C75734"/>
    <w:rsid w:val="00C77CCC"/>
    <w:rsid w:val="00C85DAD"/>
    <w:rsid w:val="00CD5298"/>
    <w:rsid w:val="00CD6FA8"/>
    <w:rsid w:val="00CF2CE0"/>
    <w:rsid w:val="00CF4A78"/>
    <w:rsid w:val="00CF731B"/>
    <w:rsid w:val="00D25BF4"/>
    <w:rsid w:val="00D276A3"/>
    <w:rsid w:val="00D31AB1"/>
    <w:rsid w:val="00D32D52"/>
    <w:rsid w:val="00D51ACE"/>
    <w:rsid w:val="00D631CB"/>
    <w:rsid w:val="00D65703"/>
    <w:rsid w:val="00D72BB4"/>
    <w:rsid w:val="00D907B1"/>
    <w:rsid w:val="00DA1B4D"/>
    <w:rsid w:val="00DB62AA"/>
    <w:rsid w:val="00DC6F5C"/>
    <w:rsid w:val="00DF2211"/>
    <w:rsid w:val="00DF3B83"/>
    <w:rsid w:val="00E13D10"/>
    <w:rsid w:val="00E6726C"/>
    <w:rsid w:val="00E94F9E"/>
    <w:rsid w:val="00EC317B"/>
    <w:rsid w:val="00EC6438"/>
    <w:rsid w:val="00EC7BB1"/>
    <w:rsid w:val="00F02877"/>
    <w:rsid w:val="00F4069A"/>
    <w:rsid w:val="00F423E9"/>
    <w:rsid w:val="00F81550"/>
    <w:rsid w:val="00FB0736"/>
    <w:rsid w:val="00FD4054"/>
    <w:rsid w:val="00FD5832"/>
    <w:rsid w:val="00FF7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27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659"/>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4A5659"/>
    <w:pPr>
      <w:pBdr>
        <w:top w:val="nil"/>
        <w:left w:val="nil"/>
        <w:bottom w:val="nil"/>
        <w:right w:val="nil"/>
        <w:between w:val="nil"/>
        <w:bar w:val="nil"/>
      </w:pBdr>
      <w:spacing w:line="240" w:lineRule="auto"/>
    </w:pPr>
    <w:rPr>
      <w:rFonts w:ascii="Times New Roman" w:eastAsia="Calibri" w:hAnsi="Times New Roman" w:cs="Calibri"/>
      <w:sz w:val="24"/>
      <w:u w:color="000000"/>
      <w:bdr w:val="nil"/>
    </w:rPr>
  </w:style>
  <w:style w:type="paragraph" w:styleId="ListParagraph">
    <w:name w:val="List Paragraph"/>
    <w:basedOn w:val="Normal"/>
    <w:uiPriority w:val="34"/>
    <w:qFormat/>
    <w:rsid w:val="006B7EFD"/>
    <w:pPr>
      <w:spacing w:after="0" w:line="360" w:lineRule="auto"/>
      <w:ind w:left="720"/>
      <w:contextualSpacing/>
    </w:pPr>
    <w:rPr>
      <w:rFonts w:ascii="Arial Narrow" w:hAnsi="Arial Narrow"/>
    </w:rPr>
  </w:style>
  <w:style w:type="paragraph" w:styleId="Header">
    <w:name w:val="header"/>
    <w:basedOn w:val="Normal"/>
    <w:link w:val="HeaderChar"/>
    <w:uiPriority w:val="99"/>
    <w:unhideWhenUsed/>
    <w:rsid w:val="007529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2948"/>
    <w:rPr>
      <w:rFonts w:ascii="Times New Roman" w:hAnsi="Times New Roman"/>
      <w:sz w:val="24"/>
    </w:rPr>
  </w:style>
  <w:style w:type="paragraph" w:styleId="Footer">
    <w:name w:val="footer"/>
    <w:basedOn w:val="Normal"/>
    <w:link w:val="FooterChar"/>
    <w:uiPriority w:val="99"/>
    <w:unhideWhenUsed/>
    <w:rsid w:val="007529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948"/>
    <w:rPr>
      <w:rFonts w:ascii="Times New Roman" w:hAnsi="Times New Roman"/>
      <w:sz w:val="24"/>
    </w:rPr>
  </w:style>
  <w:style w:type="paragraph" w:styleId="Caption">
    <w:name w:val="caption"/>
    <w:basedOn w:val="Normal"/>
    <w:next w:val="Normal"/>
    <w:uiPriority w:val="35"/>
    <w:unhideWhenUsed/>
    <w:qFormat/>
    <w:rsid w:val="00771624"/>
    <w:pPr>
      <w:spacing w:line="240" w:lineRule="auto"/>
      <w:ind w:firstLine="288"/>
    </w:pPr>
    <w:rPr>
      <w:rFonts w:ascii="Arial Narrow" w:hAnsi="Arial Narrow"/>
      <w:b/>
      <w:bCs/>
      <w:color w:val="4F81BD" w:themeColor="accent1"/>
      <w:sz w:val="18"/>
      <w:szCs w:val="18"/>
    </w:rPr>
  </w:style>
  <w:style w:type="paragraph" w:styleId="BalloonText">
    <w:name w:val="Balloon Text"/>
    <w:basedOn w:val="Normal"/>
    <w:link w:val="BalloonTextChar"/>
    <w:uiPriority w:val="99"/>
    <w:semiHidden/>
    <w:unhideWhenUsed/>
    <w:rsid w:val="007716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1624"/>
    <w:rPr>
      <w:rFonts w:ascii="Tahoma" w:hAnsi="Tahoma" w:cs="Tahoma"/>
      <w:sz w:val="16"/>
      <w:szCs w:val="16"/>
    </w:rPr>
  </w:style>
  <w:style w:type="table" w:styleId="TableGrid">
    <w:name w:val="Table Grid"/>
    <w:basedOn w:val="TableNormal"/>
    <w:uiPriority w:val="59"/>
    <w:rsid w:val="000A7B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526EE"/>
    <w:rPr>
      <w:sz w:val="16"/>
      <w:szCs w:val="16"/>
    </w:rPr>
  </w:style>
  <w:style w:type="paragraph" w:styleId="CommentText">
    <w:name w:val="annotation text"/>
    <w:basedOn w:val="Normal"/>
    <w:link w:val="CommentTextChar"/>
    <w:uiPriority w:val="99"/>
    <w:semiHidden/>
    <w:unhideWhenUsed/>
    <w:rsid w:val="006526EE"/>
    <w:pPr>
      <w:spacing w:line="240" w:lineRule="auto"/>
    </w:pPr>
    <w:rPr>
      <w:sz w:val="20"/>
      <w:szCs w:val="20"/>
    </w:rPr>
  </w:style>
  <w:style w:type="character" w:customStyle="1" w:styleId="CommentTextChar">
    <w:name w:val="Comment Text Char"/>
    <w:basedOn w:val="DefaultParagraphFont"/>
    <w:link w:val="CommentText"/>
    <w:uiPriority w:val="99"/>
    <w:semiHidden/>
    <w:rsid w:val="006526E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25BF4"/>
    <w:rPr>
      <w:b/>
      <w:bCs/>
    </w:rPr>
  </w:style>
  <w:style w:type="character" w:customStyle="1" w:styleId="CommentSubjectChar">
    <w:name w:val="Comment Subject Char"/>
    <w:basedOn w:val="CommentTextChar"/>
    <w:link w:val="CommentSubject"/>
    <w:uiPriority w:val="99"/>
    <w:semiHidden/>
    <w:rsid w:val="00D25BF4"/>
    <w:rPr>
      <w:rFonts w:ascii="Times New Roman" w:hAnsi="Times New Roman"/>
      <w:b/>
      <w:bCs/>
      <w:sz w:val="20"/>
      <w:szCs w:val="20"/>
    </w:rPr>
  </w:style>
  <w:style w:type="paragraph" w:styleId="FootnoteText">
    <w:name w:val="footnote text"/>
    <w:basedOn w:val="Normal"/>
    <w:link w:val="FootnoteTextChar"/>
    <w:uiPriority w:val="99"/>
    <w:semiHidden/>
    <w:unhideWhenUsed/>
    <w:rsid w:val="001153C6"/>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1153C6"/>
    <w:rPr>
      <w:sz w:val="20"/>
      <w:szCs w:val="20"/>
    </w:rPr>
  </w:style>
  <w:style w:type="character" w:styleId="FootnoteReference">
    <w:name w:val="footnote reference"/>
    <w:basedOn w:val="DefaultParagraphFont"/>
    <w:uiPriority w:val="99"/>
    <w:semiHidden/>
    <w:unhideWhenUsed/>
    <w:rsid w:val="001153C6"/>
    <w:rPr>
      <w:vertAlign w:val="superscript"/>
    </w:rPr>
  </w:style>
  <w:style w:type="character" w:styleId="Hyperlink">
    <w:name w:val="Hyperlink"/>
    <w:basedOn w:val="DefaultParagraphFont"/>
    <w:uiPriority w:val="99"/>
    <w:unhideWhenUsed/>
    <w:rsid w:val="001153C6"/>
    <w:rPr>
      <w:color w:val="0000FF"/>
      <w:u w:val="single"/>
    </w:rPr>
  </w:style>
  <w:style w:type="character" w:styleId="Strong">
    <w:name w:val="Strong"/>
    <w:basedOn w:val="DefaultParagraphFont"/>
    <w:uiPriority w:val="22"/>
    <w:qFormat/>
    <w:rsid w:val="001153C6"/>
    <w:rPr>
      <w:b/>
      <w:bCs/>
    </w:rPr>
  </w:style>
  <w:style w:type="paragraph" w:styleId="NormalWeb">
    <w:name w:val="Normal (Web)"/>
    <w:basedOn w:val="Normal"/>
    <w:uiPriority w:val="99"/>
    <w:unhideWhenUsed/>
    <w:rsid w:val="001153C6"/>
    <w:pPr>
      <w:spacing w:after="360" w:line="240" w:lineRule="auto"/>
    </w:pPr>
    <w:rPr>
      <w:rFonts w:eastAsia="Times New Roman" w:cs="Times New Roman"/>
      <w:szCs w:val="24"/>
    </w:rPr>
  </w:style>
  <w:style w:type="paragraph" w:customStyle="1" w:styleId="Default">
    <w:name w:val="Default"/>
    <w:rsid w:val="007F4CE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20">
    <w:name w:val="CM20"/>
    <w:basedOn w:val="Default"/>
    <w:next w:val="Default"/>
    <w:uiPriority w:val="99"/>
    <w:rsid w:val="007F4CE9"/>
    <w:rPr>
      <w:color w:val="auto"/>
    </w:rPr>
  </w:style>
  <w:style w:type="paragraph" w:customStyle="1" w:styleId="CM22">
    <w:name w:val="CM22"/>
    <w:basedOn w:val="Default"/>
    <w:next w:val="Default"/>
    <w:uiPriority w:val="99"/>
    <w:rsid w:val="007F4CE9"/>
    <w:rPr>
      <w:color w:val="auto"/>
    </w:rPr>
  </w:style>
  <w:style w:type="character" w:styleId="FollowedHyperlink">
    <w:name w:val="FollowedHyperlink"/>
    <w:basedOn w:val="DefaultParagraphFont"/>
    <w:uiPriority w:val="99"/>
    <w:semiHidden/>
    <w:unhideWhenUsed/>
    <w:rsid w:val="00FD4054"/>
    <w:rPr>
      <w:color w:val="800080" w:themeColor="followedHyperlink"/>
      <w:u w:val="single"/>
    </w:rPr>
  </w:style>
  <w:style w:type="paragraph" w:styleId="EndnoteText">
    <w:name w:val="endnote text"/>
    <w:basedOn w:val="Normal"/>
    <w:link w:val="EndnoteTextChar"/>
    <w:uiPriority w:val="99"/>
    <w:semiHidden/>
    <w:unhideWhenUsed/>
    <w:rsid w:val="005A427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A427B"/>
    <w:rPr>
      <w:rFonts w:ascii="Times New Roman" w:hAnsi="Times New Roman"/>
      <w:sz w:val="20"/>
      <w:szCs w:val="20"/>
    </w:rPr>
  </w:style>
  <w:style w:type="character" w:styleId="EndnoteReference">
    <w:name w:val="endnote reference"/>
    <w:basedOn w:val="DefaultParagraphFont"/>
    <w:uiPriority w:val="99"/>
    <w:semiHidden/>
    <w:unhideWhenUsed/>
    <w:rsid w:val="005A427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659"/>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4A5659"/>
    <w:pPr>
      <w:pBdr>
        <w:top w:val="nil"/>
        <w:left w:val="nil"/>
        <w:bottom w:val="nil"/>
        <w:right w:val="nil"/>
        <w:between w:val="nil"/>
        <w:bar w:val="nil"/>
      </w:pBdr>
      <w:spacing w:line="240" w:lineRule="auto"/>
    </w:pPr>
    <w:rPr>
      <w:rFonts w:ascii="Times New Roman" w:eastAsia="Calibri" w:hAnsi="Times New Roman" w:cs="Calibri"/>
      <w:sz w:val="24"/>
      <w:u w:color="000000"/>
      <w:bdr w:val="nil"/>
    </w:rPr>
  </w:style>
  <w:style w:type="paragraph" w:styleId="ListParagraph">
    <w:name w:val="List Paragraph"/>
    <w:basedOn w:val="Normal"/>
    <w:uiPriority w:val="34"/>
    <w:qFormat/>
    <w:rsid w:val="006B7EFD"/>
    <w:pPr>
      <w:spacing w:after="0" w:line="360" w:lineRule="auto"/>
      <w:ind w:left="720"/>
      <w:contextualSpacing/>
    </w:pPr>
    <w:rPr>
      <w:rFonts w:ascii="Arial Narrow" w:hAnsi="Arial Narrow"/>
    </w:rPr>
  </w:style>
  <w:style w:type="paragraph" w:styleId="Header">
    <w:name w:val="header"/>
    <w:basedOn w:val="Normal"/>
    <w:link w:val="HeaderChar"/>
    <w:uiPriority w:val="99"/>
    <w:unhideWhenUsed/>
    <w:rsid w:val="007529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2948"/>
    <w:rPr>
      <w:rFonts w:ascii="Times New Roman" w:hAnsi="Times New Roman"/>
      <w:sz w:val="24"/>
    </w:rPr>
  </w:style>
  <w:style w:type="paragraph" w:styleId="Footer">
    <w:name w:val="footer"/>
    <w:basedOn w:val="Normal"/>
    <w:link w:val="FooterChar"/>
    <w:uiPriority w:val="99"/>
    <w:unhideWhenUsed/>
    <w:rsid w:val="007529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948"/>
    <w:rPr>
      <w:rFonts w:ascii="Times New Roman" w:hAnsi="Times New Roman"/>
      <w:sz w:val="24"/>
    </w:rPr>
  </w:style>
  <w:style w:type="paragraph" w:styleId="Caption">
    <w:name w:val="caption"/>
    <w:basedOn w:val="Normal"/>
    <w:next w:val="Normal"/>
    <w:uiPriority w:val="35"/>
    <w:unhideWhenUsed/>
    <w:qFormat/>
    <w:rsid w:val="00771624"/>
    <w:pPr>
      <w:spacing w:line="240" w:lineRule="auto"/>
      <w:ind w:firstLine="288"/>
    </w:pPr>
    <w:rPr>
      <w:rFonts w:ascii="Arial Narrow" w:hAnsi="Arial Narrow"/>
      <w:b/>
      <w:bCs/>
      <w:color w:val="4F81BD" w:themeColor="accent1"/>
      <w:sz w:val="18"/>
      <w:szCs w:val="18"/>
    </w:rPr>
  </w:style>
  <w:style w:type="paragraph" w:styleId="BalloonText">
    <w:name w:val="Balloon Text"/>
    <w:basedOn w:val="Normal"/>
    <w:link w:val="BalloonTextChar"/>
    <w:uiPriority w:val="99"/>
    <w:semiHidden/>
    <w:unhideWhenUsed/>
    <w:rsid w:val="007716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1624"/>
    <w:rPr>
      <w:rFonts w:ascii="Tahoma" w:hAnsi="Tahoma" w:cs="Tahoma"/>
      <w:sz w:val="16"/>
      <w:szCs w:val="16"/>
    </w:rPr>
  </w:style>
  <w:style w:type="table" w:styleId="TableGrid">
    <w:name w:val="Table Grid"/>
    <w:basedOn w:val="TableNormal"/>
    <w:uiPriority w:val="59"/>
    <w:rsid w:val="000A7B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526EE"/>
    <w:rPr>
      <w:sz w:val="16"/>
      <w:szCs w:val="16"/>
    </w:rPr>
  </w:style>
  <w:style w:type="paragraph" w:styleId="CommentText">
    <w:name w:val="annotation text"/>
    <w:basedOn w:val="Normal"/>
    <w:link w:val="CommentTextChar"/>
    <w:uiPriority w:val="99"/>
    <w:semiHidden/>
    <w:unhideWhenUsed/>
    <w:rsid w:val="006526EE"/>
    <w:pPr>
      <w:spacing w:line="240" w:lineRule="auto"/>
    </w:pPr>
    <w:rPr>
      <w:sz w:val="20"/>
      <w:szCs w:val="20"/>
    </w:rPr>
  </w:style>
  <w:style w:type="character" w:customStyle="1" w:styleId="CommentTextChar">
    <w:name w:val="Comment Text Char"/>
    <w:basedOn w:val="DefaultParagraphFont"/>
    <w:link w:val="CommentText"/>
    <w:uiPriority w:val="99"/>
    <w:semiHidden/>
    <w:rsid w:val="006526E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25BF4"/>
    <w:rPr>
      <w:b/>
      <w:bCs/>
    </w:rPr>
  </w:style>
  <w:style w:type="character" w:customStyle="1" w:styleId="CommentSubjectChar">
    <w:name w:val="Comment Subject Char"/>
    <w:basedOn w:val="CommentTextChar"/>
    <w:link w:val="CommentSubject"/>
    <w:uiPriority w:val="99"/>
    <w:semiHidden/>
    <w:rsid w:val="00D25BF4"/>
    <w:rPr>
      <w:rFonts w:ascii="Times New Roman" w:hAnsi="Times New Roman"/>
      <w:b/>
      <w:bCs/>
      <w:sz w:val="20"/>
      <w:szCs w:val="20"/>
    </w:rPr>
  </w:style>
  <w:style w:type="paragraph" w:styleId="FootnoteText">
    <w:name w:val="footnote text"/>
    <w:basedOn w:val="Normal"/>
    <w:link w:val="FootnoteTextChar"/>
    <w:uiPriority w:val="99"/>
    <w:semiHidden/>
    <w:unhideWhenUsed/>
    <w:rsid w:val="001153C6"/>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1153C6"/>
    <w:rPr>
      <w:sz w:val="20"/>
      <w:szCs w:val="20"/>
    </w:rPr>
  </w:style>
  <w:style w:type="character" w:styleId="FootnoteReference">
    <w:name w:val="footnote reference"/>
    <w:basedOn w:val="DefaultParagraphFont"/>
    <w:uiPriority w:val="99"/>
    <w:semiHidden/>
    <w:unhideWhenUsed/>
    <w:rsid w:val="001153C6"/>
    <w:rPr>
      <w:vertAlign w:val="superscript"/>
    </w:rPr>
  </w:style>
  <w:style w:type="character" w:styleId="Hyperlink">
    <w:name w:val="Hyperlink"/>
    <w:basedOn w:val="DefaultParagraphFont"/>
    <w:uiPriority w:val="99"/>
    <w:unhideWhenUsed/>
    <w:rsid w:val="001153C6"/>
    <w:rPr>
      <w:color w:val="0000FF"/>
      <w:u w:val="single"/>
    </w:rPr>
  </w:style>
  <w:style w:type="character" w:styleId="Strong">
    <w:name w:val="Strong"/>
    <w:basedOn w:val="DefaultParagraphFont"/>
    <w:uiPriority w:val="22"/>
    <w:qFormat/>
    <w:rsid w:val="001153C6"/>
    <w:rPr>
      <w:b/>
      <w:bCs/>
    </w:rPr>
  </w:style>
  <w:style w:type="paragraph" w:styleId="NormalWeb">
    <w:name w:val="Normal (Web)"/>
    <w:basedOn w:val="Normal"/>
    <w:uiPriority w:val="99"/>
    <w:unhideWhenUsed/>
    <w:rsid w:val="001153C6"/>
    <w:pPr>
      <w:spacing w:after="360" w:line="240" w:lineRule="auto"/>
    </w:pPr>
    <w:rPr>
      <w:rFonts w:eastAsia="Times New Roman" w:cs="Times New Roman"/>
      <w:szCs w:val="24"/>
    </w:rPr>
  </w:style>
  <w:style w:type="paragraph" w:customStyle="1" w:styleId="Default">
    <w:name w:val="Default"/>
    <w:rsid w:val="007F4CE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20">
    <w:name w:val="CM20"/>
    <w:basedOn w:val="Default"/>
    <w:next w:val="Default"/>
    <w:uiPriority w:val="99"/>
    <w:rsid w:val="007F4CE9"/>
    <w:rPr>
      <w:color w:val="auto"/>
    </w:rPr>
  </w:style>
  <w:style w:type="paragraph" w:customStyle="1" w:styleId="CM22">
    <w:name w:val="CM22"/>
    <w:basedOn w:val="Default"/>
    <w:next w:val="Default"/>
    <w:uiPriority w:val="99"/>
    <w:rsid w:val="007F4CE9"/>
    <w:rPr>
      <w:color w:val="auto"/>
    </w:rPr>
  </w:style>
  <w:style w:type="character" w:styleId="FollowedHyperlink">
    <w:name w:val="FollowedHyperlink"/>
    <w:basedOn w:val="DefaultParagraphFont"/>
    <w:uiPriority w:val="99"/>
    <w:semiHidden/>
    <w:unhideWhenUsed/>
    <w:rsid w:val="00FD4054"/>
    <w:rPr>
      <w:color w:val="800080" w:themeColor="followedHyperlink"/>
      <w:u w:val="single"/>
    </w:rPr>
  </w:style>
  <w:style w:type="paragraph" w:styleId="EndnoteText">
    <w:name w:val="endnote text"/>
    <w:basedOn w:val="Normal"/>
    <w:link w:val="EndnoteTextChar"/>
    <w:uiPriority w:val="99"/>
    <w:semiHidden/>
    <w:unhideWhenUsed/>
    <w:rsid w:val="005A427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A427B"/>
    <w:rPr>
      <w:rFonts w:ascii="Times New Roman" w:hAnsi="Times New Roman"/>
      <w:sz w:val="20"/>
      <w:szCs w:val="20"/>
    </w:rPr>
  </w:style>
  <w:style w:type="character" w:styleId="EndnoteReference">
    <w:name w:val="endnote reference"/>
    <w:basedOn w:val="DefaultParagraphFont"/>
    <w:uiPriority w:val="99"/>
    <w:semiHidden/>
    <w:unhideWhenUsed/>
    <w:rsid w:val="005A42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1250319">
      <w:bodyDiv w:val="1"/>
      <w:marLeft w:val="0"/>
      <w:marRight w:val="0"/>
      <w:marTop w:val="0"/>
      <w:marBottom w:val="0"/>
      <w:divBdr>
        <w:top w:val="none" w:sz="0" w:space="0" w:color="auto"/>
        <w:left w:val="none" w:sz="0" w:space="0" w:color="auto"/>
        <w:bottom w:val="none" w:sz="0" w:space="0" w:color="auto"/>
        <w:right w:val="none" w:sz="0" w:space="0" w:color="auto"/>
      </w:divBdr>
    </w:div>
    <w:div w:id="1853178717">
      <w:bodyDiv w:val="1"/>
      <w:marLeft w:val="0"/>
      <w:marRight w:val="0"/>
      <w:marTop w:val="0"/>
      <w:marBottom w:val="0"/>
      <w:divBdr>
        <w:top w:val="none" w:sz="0" w:space="0" w:color="auto"/>
        <w:left w:val="none" w:sz="0" w:space="0" w:color="auto"/>
        <w:bottom w:val="none" w:sz="0" w:space="0" w:color="auto"/>
        <w:right w:val="none" w:sz="0" w:space="0" w:color="auto"/>
      </w:divBdr>
      <w:divsChild>
        <w:div w:id="383799635">
          <w:marLeft w:val="0"/>
          <w:marRight w:val="0"/>
          <w:marTop w:val="0"/>
          <w:marBottom w:val="0"/>
          <w:divBdr>
            <w:top w:val="none" w:sz="0" w:space="0" w:color="auto"/>
            <w:left w:val="none" w:sz="0" w:space="0" w:color="auto"/>
            <w:bottom w:val="none" w:sz="0" w:space="0" w:color="auto"/>
            <w:right w:val="none" w:sz="0" w:space="0" w:color="auto"/>
          </w:divBdr>
          <w:divsChild>
            <w:div w:id="1789547520">
              <w:marLeft w:val="0"/>
              <w:marRight w:val="0"/>
              <w:marTop w:val="0"/>
              <w:marBottom w:val="0"/>
              <w:divBdr>
                <w:top w:val="none" w:sz="0" w:space="0" w:color="auto"/>
                <w:left w:val="none" w:sz="0" w:space="0" w:color="auto"/>
                <w:bottom w:val="none" w:sz="0" w:space="0" w:color="auto"/>
                <w:right w:val="none" w:sz="0" w:space="0" w:color="auto"/>
              </w:divBdr>
              <w:divsChild>
                <w:div w:id="1310941057">
                  <w:marLeft w:val="0"/>
                  <w:marRight w:val="0"/>
                  <w:marTop w:val="0"/>
                  <w:marBottom w:val="0"/>
                  <w:divBdr>
                    <w:top w:val="none" w:sz="0" w:space="0" w:color="auto"/>
                    <w:left w:val="none" w:sz="0" w:space="0" w:color="auto"/>
                    <w:bottom w:val="none" w:sz="0" w:space="0" w:color="auto"/>
                    <w:right w:val="none" w:sz="0" w:space="0" w:color="auto"/>
                  </w:divBdr>
                  <w:divsChild>
                    <w:div w:id="362902381">
                      <w:marLeft w:val="0"/>
                      <w:marRight w:val="0"/>
                      <w:marTop w:val="0"/>
                      <w:marBottom w:val="0"/>
                      <w:divBdr>
                        <w:top w:val="none" w:sz="0" w:space="0" w:color="auto"/>
                        <w:left w:val="none" w:sz="0" w:space="0" w:color="auto"/>
                        <w:bottom w:val="none" w:sz="0" w:space="0" w:color="auto"/>
                        <w:right w:val="none" w:sz="0" w:space="0" w:color="auto"/>
                      </w:divBdr>
                      <w:divsChild>
                        <w:div w:id="1488353949">
                          <w:marLeft w:val="-225"/>
                          <w:marRight w:val="-225"/>
                          <w:marTop w:val="0"/>
                          <w:marBottom w:val="0"/>
                          <w:divBdr>
                            <w:top w:val="none" w:sz="0" w:space="0" w:color="auto"/>
                            <w:left w:val="none" w:sz="0" w:space="0" w:color="auto"/>
                            <w:bottom w:val="none" w:sz="0" w:space="0" w:color="auto"/>
                            <w:right w:val="none" w:sz="0" w:space="0" w:color="auto"/>
                          </w:divBdr>
                          <w:divsChild>
                            <w:div w:id="1223754407">
                              <w:marLeft w:val="0"/>
                              <w:marRight w:val="0"/>
                              <w:marTop w:val="0"/>
                              <w:marBottom w:val="0"/>
                              <w:divBdr>
                                <w:top w:val="none" w:sz="0" w:space="0" w:color="auto"/>
                                <w:left w:val="none" w:sz="0" w:space="0" w:color="auto"/>
                                <w:bottom w:val="none" w:sz="0" w:space="0" w:color="auto"/>
                                <w:right w:val="none" w:sz="0" w:space="0" w:color="auto"/>
                              </w:divBdr>
                              <w:divsChild>
                                <w:div w:id="166869034">
                                  <w:marLeft w:val="0"/>
                                  <w:marRight w:val="0"/>
                                  <w:marTop w:val="0"/>
                                  <w:marBottom w:val="0"/>
                                  <w:divBdr>
                                    <w:top w:val="none" w:sz="0" w:space="0" w:color="auto"/>
                                    <w:left w:val="none" w:sz="0" w:space="0" w:color="auto"/>
                                    <w:bottom w:val="none" w:sz="0" w:space="0" w:color="auto"/>
                                    <w:right w:val="none" w:sz="0" w:space="0" w:color="auto"/>
                                  </w:divBdr>
                                  <w:divsChild>
                                    <w:div w:id="210314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B1DF7-F231-4E0B-88EA-63EE40BA6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807</Words>
  <Characters>4606</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5403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Mills, Gregory</dc:creator>
  <cp:lastModifiedBy>Willming, Cody</cp:lastModifiedBy>
  <cp:revision>2</cp:revision>
  <dcterms:created xsi:type="dcterms:W3CDTF">2015-11-17T17:57:00Z</dcterms:created>
  <dcterms:modified xsi:type="dcterms:W3CDTF">2015-11-17T17:57:00Z</dcterms:modified>
</cp:coreProperties>
</file>